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7416E" w14:textId="77777777" w:rsidR="006925BE" w:rsidRDefault="0036577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OBJETIVO</w:t>
      </w:r>
    </w:p>
    <w:p w14:paraId="463612B8" w14:textId="77777777" w:rsidR="006925BE" w:rsidRDefault="006925BE">
      <w:pPr>
        <w:jc w:val="both"/>
        <w:rPr>
          <w:rFonts w:ascii="Arial" w:eastAsia="Arial" w:hAnsi="Arial" w:cs="Arial"/>
        </w:rPr>
      </w:pPr>
    </w:p>
    <w:p w14:paraId="2378FD21" w14:textId="77777777" w:rsidR="006925BE" w:rsidRDefault="0036577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Evaluar en forma sistemática, los servicios que ofrece el Instituto Tecnológico de Gustavo A. Madero mediante la aplicación de encuestas de servicio a los estudiantes para identificar las áreas de oportunidad </w:t>
      </w:r>
      <w:r>
        <w:rPr>
          <w:rFonts w:ascii="Arial" w:eastAsia="Arial" w:hAnsi="Arial" w:cs="Arial"/>
          <w:color w:val="202124"/>
          <w:highlight w:val="white"/>
        </w:rPr>
        <w:t xml:space="preserve">de mejora </w:t>
      </w:r>
      <w:r>
        <w:rPr>
          <w:rFonts w:ascii="Arial" w:eastAsia="Arial" w:hAnsi="Arial" w:cs="Arial"/>
        </w:rPr>
        <w:t>en relación con las expectativas del cliente.</w:t>
      </w:r>
    </w:p>
    <w:p w14:paraId="73939E1F" w14:textId="77777777" w:rsidR="006925BE" w:rsidRDefault="006925BE">
      <w:pPr>
        <w:jc w:val="both"/>
        <w:rPr>
          <w:rFonts w:ascii="Arial" w:eastAsia="Arial" w:hAnsi="Arial" w:cs="Arial"/>
        </w:rPr>
      </w:pPr>
    </w:p>
    <w:p w14:paraId="012601E1" w14:textId="77777777" w:rsidR="006925BE" w:rsidRDefault="0036577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ALCANCE Y RESPONSABLES</w:t>
      </w:r>
    </w:p>
    <w:p w14:paraId="2A22B688" w14:textId="77777777" w:rsidR="006925BE" w:rsidRDefault="006925BE">
      <w:pPr>
        <w:jc w:val="both"/>
        <w:rPr>
          <w:rFonts w:ascii="Arial" w:eastAsia="Arial" w:hAnsi="Arial" w:cs="Arial"/>
          <w:b/>
        </w:rPr>
      </w:pPr>
    </w:p>
    <w:p w14:paraId="10C1562D" w14:textId="77777777" w:rsidR="006925BE" w:rsidRDefault="0036577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Aplica a todas las áreas de servicio al cliente en el Instituto Tecnológico de Gustavo A. Madero.</w:t>
      </w:r>
    </w:p>
    <w:p w14:paraId="6413C85C" w14:textId="77777777" w:rsidR="006925BE" w:rsidRDefault="006925BE">
      <w:pPr>
        <w:jc w:val="both"/>
        <w:rPr>
          <w:rFonts w:ascii="Arial" w:eastAsia="Arial" w:hAnsi="Arial" w:cs="Arial"/>
        </w:rPr>
      </w:pPr>
    </w:p>
    <w:p w14:paraId="65FA68F8" w14:textId="77777777" w:rsidR="006925BE" w:rsidRDefault="0036577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GLOSARIO</w:t>
      </w:r>
    </w:p>
    <w:p w14:paraId="5299D7B2" w14:textId="77777777" w:rsidR="006925BE" w:rsidRDefault="006925BE">
      <w:pPr>
        <w:jc w:val="both"/>
        <w:rPr>
          <w:rFonts w:ascii="Arial" w:eastAsia="Arial" w:hAnsi="Arial" w:cs="Arial"/>
        </w:rPr>
      </w:pPr>
    </w:p>
    <w:p w14:paraId="72F4AD30" w14:textId="77777777" w:rsidR="006925BE" w:rsidRDefault="0036577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Área encuestada: </w:t>
      </w:r>
      <w:r>
        <w:rPr>
          <w:rFonts w:ascii="Arial" w:eastAsia="Arial" w:hAnsi="Arial" w:cs="Arial"/>
        </w:rPr>
        <w:t>Área que presta el servicio que se evalúa y en donde puede haber una no conformidad.</w:t>
      </w:r>
    </w:p>
    <w:p w14:paraId="2FA50F5D" w14:textId="77777777" w:rsidR="006925BE" w:rsidRDefault="006925BE">
      <w:pPr>
        <w:spacing w:line="239" w:lineRule="auto"/>
        <w:jc w:val="both"/>
        <w:rPr>
          <w:rFonts w:ascii="Arial" w:eastAsia="Arial" w:hAnsi="Arial" w:cs="Arial"/>
        </w:rPr>
      </w:pPr>
    </w:p>
    <w:p w14:paraId="6A4B1F40" w14:textId="77777777" w:rsidR="006925BE" w:rsidRDefault="0036577B">
      <w:pPr>
        <w:spacing w:line="237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Auditor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Persona con la competencia para llevar a cabo una Auditoría. Auditoría: Análisis sistemático 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independiente para determinar si las actividades de Calidad cumplen las disposiciones establecidas y si éstas son implantadas eficazmente, y son apropiadas para alcanzar los objetivos propuestos.</w:t>
      </w:r>
    </w:p>
    <w:p w14:paraId="5EFACA7E" w14:textId="77777777" w:rsidR="006925BE" w:rsidRDefault="006925BE">
      <w:pPr>
        <w:jc w:val="both"/>
        <w:rPr>
          <w:rFonts w:ascii="Arial" w:eastAsia="Arial" w:hAnsi="Arial" w:cs="Arial"/>
        </w:rPr>
      </w:pPr>
    </w:p>
    <w:p w14:paraId="5637215C" w14:textId="77777777" w:rsidR="006925BE" w:rsidRDefault="0036577B">
      <w:pPr>
        <w:spacing w:line="23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Auditado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Para efecto de las Auditorías de Servicio el auditado es el área o departamento del plantel que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proporciona el servicio al Alumno.</w:t>
      </w:r>
    </w:p>
    <w:p w14:paraId="1C079B3E" w14:textId="77777777" w:rsidR="006925BE" w:rsidRDefault="006925BE">
      <w:pPr>
        <w:spacing w:line="230" w:lineRule="auto"/>
        <w:jc w:val="both"/>
        <w:rPr>
          <w:rFonts w:ascii="Arial" w:eastAsia="Arial" w:hAnsi="Arial" w:cs="Arial"/>
        </w:rPr>
      </w:pPr>
    </w:p>
    <w:p w14:paraId="6ADB64AD" w14:textId="77777777" w:rsidR="006925BE" w:rsidRDefault="0036577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Auditor Líder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Responsable de coordinar y dar seguimiento al proceso de Auditoría.</w:t>
      </w:r>
    </w:p>
    <w:p w14:paraId="7DB221CD" w14:textId="77777777" w:rsidR="006925BE" w:rsidRDefault="006925BE">
      <w:pPr>
        <w:spacing w:line="241" w:lineRule="auto"/>
        <w:jc w:val="both"/>
        <w:rPr>
          <w:rFonts w:ascii="Arial" w:eastAsia="Arial" w:hAnsi="Arial" w:cs="Arial"/>
        </w:rPr>
      </w:pPr>
    </w:p>
    <w:p w14:paraId="35C7B779" w14:textId="77777777" w:rsidR="006925BE" w:rsidRDefault="0036577B">
      <w:pPr>
        <w:spacing w:line="23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Encuesta de Servicio: </w:t>
      </w:r>
      <w:r>
        <w:rPr>
          <w:rFonts w:ascii="Arial" w:eastAsia="Arial" w:hAnsi="Arial" w:cs="Arial"/>
        </w:rPr>
        <w:t>Análisis sistemático e independiente, para determinar si los servicios proporcionados 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los(as) Estudiantes y sus resultados cumplen las disposiciones establecidas en el SGI, se implantan eficazmente y son apropiadas para alcanzar los objetivos</w:t>
      </w:r>
    </w:p>
    <w:p w14:paraId="49D67C7E" w14:textId="77777777" w:rsidR="006925BE" w:rsidRDefault="006925BE">
      <w:pPr>
        <w:spacing w:line="230" w:lineRule="auto"/>
        <w:jc w:val="both"/>
        <w:rPr>
          <w:rFonts w:ascii="Arial" w:eastAsia="Arial" w:hAnsi="Arial" w:cs="Arial"/>
        </w:rPr>
      </w:pPr>
    </w:p>
    <w:p w14:paraId="4472B7F4" w14:textId="77777777" w:rsidR="006925BE" w:rsidRDefault="0036577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Encuesta: </w:t>
      </w:r>
      <w:r>
        <w:rPr>
          <w:rFonts w:ascii="Arial" w:eastAsia="Arial" w:hAnsi="Arial" w:cs="Arial"/>
        </w:rPr>
        <w:t>Instrumento que sirve para recabar información de acuerdo con lo que se quiere medir.</w:t>
      </w:r>
    </w:p>
    <w:p w14:paraId="0007DEBE" w14:textId="77777777" w:rsidR="006925BE" w:rsidRDefault="006925BE">
      <w:pPr>
        <w:spacing w:line="231" w:lineRule="auto"/>
        <w:jc w:val="both"/>
        <w:rPr>
          <w:rFonts w:ascii="Arial" w:eastAsia="Arial" w:hAnsi="Arial" w:cs="Arial"/>
        </w:rPr>
      </w:pPr>
    </w:p>
    <w:p w14:paraId="48F8BCFF" w14:textId="77777777" w:rsidR="006925BE" w:rsidRDefault="0036577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Equipo Auditor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Uno o más auditores internos que llevan a cabo una Auditoría.</w:t>
      </w:r>
    </w:p>
    <w:p w14:paraId="09774F4B" w14:textId="77777777" w:rsidR="006925BE" w:rsidRDefault="006925BE">
      <w:pPr>
        <w:spacing w:line="239" w:lineRule="auto"/>
        <w:jc w:val="both"/>
        <w:rPr>
          <w:rFonts w:ascii="Arial" w:eastAsia="Arial" w:hAnsi="Arial" w:cs="Arial"/>
        </w:rPr>
      </w:pPr>
    </w:p>
    <w:p w14:paraId="4129AA64" w14:textId="77777777" w:rsidR="006925BE" w:rsidRDefault="0036577B">
      <w:pPr>
        <w:spacing w:line="23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Evidencia de la Encuesta: </w:t>
      </w:r>
      <w:r>
        <w:rPr>
          <w:rFonts w:ascii="Arial" w:eastAsia="Arial" w:hAnsi="Arial" w:cs="Arial"/>
        </w:rPr>
        <w:t>Registros, declaraciones de hechos o cualquier otra información pertinente y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verificable para los criterios de Auditoría.</w:t>
      </w:r>
    </w:p>
    <w:p w14:paraId="767A965E" w14:textId="77777777" w:rsidR="006925BE" w:rsidRDefault="006925BE">
      <w:pPr>
        <w:spacing w:line="239" w:lineRule="auto"/>
        <w:jc w:val="both"/>
        <w:rPr>
          <w:rFonts w:ascii="Arial" w:eastAsia="Arial" w:hAnsi="Arial" w:cs="Arial"/>
        </w:rPr>
      </w:pPr>
    </w:p>
    <w:p w14:paraId="57E77E65" w14:textId="77777777" w:rsidR="006925BE" w:rsidRDefault="0036577B">
      <w:pPr>
        <w:spacing w:line="23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 Conformidad: </w:t>
      </w:r>
      <w:r>
        <w:rPr>
          <w:rFonts w:ascii="Arial" w:eastAsia="Arial" w:hAnsi="Arial" w:cs="Arial"/>
        </w:rPr>
        <w:t>Incumplimiento de requisito de la Norma ISO 9001:2015 o requisito declarado por 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ORGANIZACIÓN.</w:t>
      </w:r>
    </w:p>
    <w:p w14:paraId="66E8D868" w14:textId="77777777" w:rsidR="006925BE" w:rsidRDefault="006925BE">
      <w:pPr>
        <w:spacing w:line="237" w:lineRule="auto"/>
        <w:jc w:val="both"/>
        <w:rPr>
          <w:rFonts w:ascii="Arial" w:eastAsia="Arial" w:hAnsi="Arial" w:cs="Arial"/>
        </w:rPr>
      </w:pPr>
    </w:p>
    <w:p w14:paraId="0DC30751" w14:textId="77777777" w:rsidR="006925BE" w:rsidRDefault="0036577B">
      <w:pPr>
        <w:spacing w:line="23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Programa de Encuesta: </w:t>
      </w:r>
      <w:r>
        <w:rPr>
          <w:rFonts w:ascii="Arial" w:eastAsia="Arial" w:hAnsi="Arial" w:cs="Arial"/>
        </w:rPr>
        <w:t>Conjunto de una o más Auditorías planificadas en un periodo determinado y dirigidas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hacia un propósito específico.</w:t>
      </w:r>
    </w:p>
    <w:p w14:paraId="0DFC79BB" w14:textId="77777777" w:rsidR="006925BE" w:rsidRDefault="006925BE">
      <w:pPr>
        <w:spacing w:line="229" w:lineRule="auto"/>
        <w:jc w:val="both"/>
        <w:rPr>
          <w:rFonts w:ascii="Arial" w:eastAsia="Arial" w:hAnsi="Arial" w:cs="Arial"/>
        </w:rPr>
      </w:pPr>
    </w:p>
    <w:p w14:paraId="29D6C377" w14:textId="77777777" w:rsidR="006925BE" w:rsidRDefault="0036577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SGC: </w:t>
      </w:r>
      <w:r>
        <w:rPr>
          <w:rFonts w:ascii="Arial" w:eastAsia="Arial" w:hAnsi="Arial" w:cs="Arial"/>
        </w:rPr>
        <w:t>Sistema de Gestión de la Calidad.</w:t>
      </w:r>
    </w:p>
    <w:p w14:paraId="2F157F7A" w14:textId="77777777" w:rsidR="006925BE" w:rsidRDefault="006925BE">
      <w:pPr>
        <w:spacing w:line="239" w:lineRule="auto"/>
        <w:jc w:val="both"/>
        <w:rPr>
          <w:rFonts w:ascii="Arial" w:eastAsia="Arial" w:hAnsi="Arial" w:cs="Arial"/>
        </w:rPr>
      </w:pPr>
    </w:p>
    <w:p w14:paraId="66C83D97" w14:textId="77777777" w:rsidR="006925BE" w:rsidRDefault="0036577B">
      <w:pPr>
        <w:spacing w:line="237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Criterios de Auditoría: </w:t>
      </w:r>
      <w:r>
        <w:rPr>
          <w:rFonts w:ascii="Arial" w:eastAsia="Arial" w:hAnsi="Arial" w:cs="Arial"/>
        </w:rPr>
        <w:t>Son las referencias usadas frente a la cual se determina la conformidad y pueden incluir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políticas, procedimientos, normas, leyes y reglamentos, requisitos del SGC, requisitos contractuales o códigos de conducta.</w:t>
      </w:r>
    </w:p>
    <w:p w14:paraId="2AEFB4A1" w14:textId="77777777" w:rsidR="006925BE" w:rsidRDefault="006925BE">
      <w:pPr>
        <w:spacing w:line="241" w:lineRule="auto"/>
        <w:jc w:val="both"/>
        <w:rPr>
          <w:rFonts w:ascii="Arial" w:eastAsia="Arial" w:hAnsi="Arial" w:cs="Arial"/>
        </w:rPr>
      </w:pPr>
    </w:p>
    <w:p w14:paraId="48F1581C" w14:textId="77777777" w:rsidR="006925BE" w:rsidRDefault="0036577B">
      <w:pPr>
        <w:spacing w:line="23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Laboratorio de Computo: </w:t>
      </w:r>
      <w:r>
        <w:rPr>
          <w:rFonts w:ascii="Arial" w:eastAsia="Arial" w:hAnsi="Arial" w:cs="Arial"/>
        </w:rPr>
        <w:t>Es el área en donde los alumnos realizan prácticas, consultan Internet, o cualquier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otra actividad relacionada. Esta área puede recibir nombres diversos dependiendo del plantel de que se trate.</w:t>
      </w:r>
    </w:p>
    <w:p w14:paraId="6DCDF8EB" w14:textId="77777777" w:rsidR="006925BE" w:rsidRDefault="006925BE">
      <w:pPr>
        <w:spacing w:line="200" w:lineRule="auto"/>
        <w:jc w:val="both"/>
        <w:rPr>
          <w:rFonts w:ascii="Arial" w:eastAsia="Arial" w:hAnsi="Arial" w:cs="Arial"/>
        </w:rPr>
      </w:pPr>
    </w:p>
    <w:p w14:paraId="11D34BE8" w14:textId="77777777" w:rsidR="006925BE" w:rsidRDefault="006925BE">
      <w:pPr>
        <w:spacing w:line="200" w:lineRule="auto"/>
        <w:rPr>
          <w:rFonts w:ascii="Arial" w:eastAsia="Arial" w:hAnsi="Arial" w:cs="Arial"/>
        </w:rPr>
      </w:pPr>
    </w:p>
    <w:p w14:paraId="7213B28F" w14:textId="77777777" w:rsidR="006925BE" w:rsidRDefault="006925BE">
      <w:pPr>
        <w:rPr>
          <w:rFonts w:ascii="Arial" w:eastAsia="Arial" w:hAnsi="Arial" w:cs="Arial"/>
        </w:rPr>
      </w:pPr>
    </w:p>
    <w:p w14:paraId="78B60963" w14:textId="77777777" w:rsidR="006925BE" w:rsidRDefault="0036577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POLÍTICAS DE OPERACIÓN</w:t>
      </w:r>
    </w:p>
    <w:p w14:paraId="7A931B77" w14:textId="77777777" w:rsidR="006925BE" w:rsidRDefault="006925BE">
      <w:pPr>
        <w:rPr>
          <w:rFonts w:ascii="Arial" w:eastAsia="Arial" w:hAnsi="Arial" w:cs="Arial"/>
        </w:rPr>
      </w:pPr>
    </w:p>
    <w:p w14:paraId="789191D9" w14:textId="77777777" w:rsidR="006925BE" w:rsidRDefault="0036577B">
      <w:pPr>
        <w:spacing w:line="23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Programa para la aplicación de Encuestas de Servicios se adecuará cuando exista alguna contingencia, producto de las quejas del cliente.</w:t>
      </w:r>
    </w:p>
    <w:p w14:paraId="03952826" w14:textId="77777777" w:rsidR="006925BE" w:rsidRDefault="006925BE">
      <w:pPr>
        <w:spacing w:line="242" w:lineRule="auto"/>
        <w:jc w:val="both"/>
        <w:rPr>
          <w:rFonts w:ascii="Arial" w:eastAsia="Arial" w:hAnsi="Arial" w:cs="Arial"/>
        </w:rPr>
      </w:pPr>
    </w:p>
    <w:p w14:paraId="0C31E617" w14:textId="77777777" w:rsidR="006925BE" w:rsidRDefault="0036577B">
      <w:pPr>
        <w:spacing w:line="23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El(la) responsable del Sistema de Gestión del Instituto Tecnológico es directamente responsable de la aplicación y evaluación de las Encuestas de Servicios auxiliándose para la aplicación del equipo auditor o Jefes de Áreas.</w:t>
      </w:r>
    </w:p>
    <w:p w14:paraId="7154C13E" w14:textId="77777777" w:rsidR="006925BE" w:rsidRDefault="006925BE">
      <w:pPr>
        <w:jc w:val="both"/>
        <w:rPr>
          <w:rFonts w:ascii="Arial" w:eastAsia="Arial" w:hAnsi="Arial" w:cs="Arial"/>
        </w:rPr>
      </w:pPr>
    </w:p>
    <w:p w14:paraId="5B864CE6" w14:textId="77777777" w:rsidR="006925BE" w:rsidRDefault="0036577B">
      <w:pPr>
        <w:spacing w:line="23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Auditorías de Servicios se realizarán por áreas tomando como base la fecha establecida en el Programa Anual de Auditorias del SGC elaborado por la Coordinación del SGC.</w:t>
      </w:r>
    </w:p>
    <w:p w14:paraId="4A410A9E" w14:textId="77777777" w:rsidR="006925BE" w:rsidRDefault="006925BE">
      <w:pPr>
        <w:spacing w:line="242" w:lineRule="auto"/>
        <w:jc w:val="both"/>
        <w:rPr>
          <w:rFonts w:ascii="Arial" w:eastAsia="Arial" w:hAnsi="Arial" w:cs="Arial"/>
        </w:rPr>
      </w:pPr>
    </w:p>
    <w:p w14:paraId="3C411AED" w14:textId="77777777" w:rsidR="006925BE" w:rsidRDefault="0036577B">
      <w:pPr>
        <w:spacing w:line="23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Auditorías de Servicios deben ser aplicadas solamente a los clientes que hayan recibido el servicio que se audita.</w:t>
      </w:r>
    </w:p>
    <w:p w14:paraId="28B2D389" w14:textId="77777777" w:rsidR="006925BE" w:rsidRDefault="006925BE">
      <w:pPr>
        <w:jc w:val="both"/>
        <w:rPr>
          <w:rFonts w:ascii="Arial" w:eastAsia="Arial" w:hAnsi="Arial" w:cs="Arial"/>
        </w:rPr>
      </w:pPr>
    </w:p>
    <w:p w14:paraId="6F69F5A6" w14:textId="77777777" w:rsidR="006925BE" w:rsidRDefault="0036577B">
      <w:pPr>
        <w:spacing w:line="23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Auditorías de Servicios se aplicarán por lo menos a un 10% del total de la población estudiantil de acuerdo con la política</w:t>
      </w:r>
    </w:p>
    <w:p w14:paraId="4F01DB10" w14:textId="77777777" w:rsidR="006925BE" w:rsidRDefault="006925BE">
      <w:pPr>
        <w:spacing w:line="242" w:lineRule="auto"/>
        <w:jc w:val="both"/>
        <w:rPr>
          <w:rFonts w:ascii="Arial" w:eastAsia="Arial" w:hAnsi="Arial" w:cs="Arial"/>
        </w:rPr>
      </w:pPr>
    </w:p>
    <w:p w14:paraId="153DD519" w14:textId="77777777" w:rsidR="006925BE" w:rsidRDefault="0036577B">
      <w:pPr>
        <w:spacing w:line="23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auditores de servicio se seleccionarán del grupo de auditores internos del Instituto Tecnológico. Los auditores no deben auditar su propia área.</w:t>
      </w:r>
    </w:p>
    <w:p w14:paraId="0024E339" w14:textId="77777777" w:rsidR="006925BE" w:rsidRDefault="006925BE">
      <w:pPr>
        <w:jc w:val="both"/>
        <w:rPr>
          <w:rFonts w:ascii="Arial" w:eastAsia="Arial" w:hAnsi="Arial" w:cs="Arial"/>
        </w:rPr>
      </w:pPr>
    </w:p>
    <w:p w14:paraId="222DAB98" w14:textId="77777777" w:rsidR="006925BE" w:rsidRDefault="0036577B">
      <w:pPr>
        <w:spacing w:line="23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Auditor Líder entregará el informe de las Auditorías de Servicios al responsable del Sistema del Instituto Tecnológico, cinco días hábiles después de haberse efectuado la Auditoría de Servicio.</w:t>
      </w:r>
    </w:p>
    <w:p w14:paraId="4D1CAE4D" w14:textId="77777777" w:rsidR="006925BE" w:rsidRDefault="006925BE">
      <w:pPr>
        <w:spacing w:line="242" w:lineRule="auto"/>
        <w:jc w:val="both"/>
        <w:rPr>
          <w:rFonts w:ascii="Arial" w:eastAsia="Arial" w:hAnsi="Arial" w:cs="Arial"/>
        </w:rPr>
      </w:pPr>
    </w:p>
    <w:p w14:paraId="60579E28" w14:textId="77777777" w:rsidR="006925BE" w:rsidRDefault="0036577B">
      <w:pPr>
        <w:spacing w:line="23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responsable del Sistema y el responsable del Área Auditada resguardarán la información para su seguimiento, con base en lo establecido en el apartado 7 del mismo procedimiento.</w:t>
      </w:r>
    </w:p>
    <w:p w14:paraId="1C5B4ABC" w14:textId="77777777" w:rsidR="006925BE" w:rsidRDefault="006925BE">
      <w:pPr>
        <w:spacing w:line="241" w:lineRule="auto"/>
        <w:jc w:val="both"/>
        <w:rPr>
          <w:rFonts w:ascii="Arial" w:eastAsia="Arial" w:hAnsi="Arial" w:cs="Arial"/>
        </w:rPr>
      </w:pPr>
    </w:p>
    <w:p w14:paraId="754EDED8" w14:textId="77777777" w:rsidR="006925BE" w:rsidRDefault="0036577B">
      <w:pPr>
        <w:spacing w:line="23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tiempo límite para presentar las Acciones Correctivas es de diez días hábiles posteriores a la fecha de recepción del informe de Auditorías de Servicios.</w:t>
      </w:r>
    </w:p>
    <w:p w14:paraId="6DC7E86C" w14:textId="77777777" w:rsidR="006925BE" w:rsidRDefault="006925BE">
      <w:pPr>
        <w:spacing w:line="242" w:lineRule="auto"/>
        <w:jc w:val="both"/>
        <w:rPr>
          <w:rFonts w:ascii="Arial" w:eastAsia="Arial" w:hAnsi="Arial" w:cs="Arial"/>
        </w:rPr>
      </w:pPr>
    </w:p>
    <w:p w14:paraId="292C5D10" w14:textId="77777777" w:rsidR="006925BE" w:rsidRDefault="0036577B">
      <w:pPr>
        <w:spacing w:line="233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documentos pertenecientes a la Auditoría de Servicio deben conservarse con base en lo establecido en los procedimientos de Control de Registros de Calidad y Control de Documentos.</w:t>
      </w:r>
    </w:p>
    <w:p w14:paraId="25FB02F5" w14:textId="77777777" w:rsidR="006925BE" w:rsidRDefault="006925BE">
      <w:pPr>
        <w:spacing w:line="200" w:lineRule="auto"/>
        <w:jc w:val="both"/>
        <w:rPr>
          <w:rFonts w:ascii="Arial" w:eastAsia="Arial" w:hAnsi="Arial" w:cs="Arial"/>
        </w:rPr>
      </w:pPr>
    </w:p>
    <w:p w14:paraId="29AD4A2C" w14:textId="77777777" w:rsidR="006925BE" w:rsidRDefault="0036577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DIAGRAMA DE FLUJO</w:t>
      </w:r>
    </w:p>
    <w:p w14:paraId="432CE6F4" w14:textId="77777777" w:rsidR="00B43298" w:rsidRDefault="00B43298">
      <w:pPr>
        <w:rPr>
          <w:rFonts w:ascii="Arial" w:eastAsia="Arial" w:hAnsi="Arial" w:cs="Arial"/>
          <w:noProof/>
        </w:rPr>
      </w:pPr>
    </w:p>
    <w:p w14:paraId="60F884D0" w14:textId="52E6D945" w:rsidR="006925BE" w:rsidRDefault="00B43298" w:rsidP="00B43298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ES" w:eastAsia="es-ES"/>
        </w:rPr>
        <w:drawing>
          <wp:inline distT="0" distB="0" distL="0" distR="0" wp14:anchorId="0F90747D" wp14:editId="259CA93A">
            <wp:extent cx="5537200" cy="7331253"/>
            <wp:effectExtent l="0" t="0" r="635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20" r="21720"/>
                    <a:stretch/>
                  </pic:blipFill>
                  <pic:spPr bwMode="auto">
                    <a:xfrm>
                      <a:off x="0" y="0"/>
                      <a:ext cx="5545963" cy="734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0C15F3" w14:textId="77777777" w:rsidR="006925BE" w:rsidRDefault="006925BE">
      <w:pPr>
        <w:jc w:val="center"/>
        <w:rPr>
          <w:rFonts w:ascii="Arial" w:eastAsia="Arial" w:hAnsi="Arial" w:cs="Arial"/>
        </w:rPr>
      </w:pPr>
    </w:p>
    <w:p w14:paraId="1FB2E4D2" w14:textId="77777777" w:rsidR="006925BE" w:rsidRDefault="006925BE">
      <w:pPr>
        <w:rPr>
          <w:rFonts w:ascii="Arial" w:eastAsia="Arial" w:hAnsi="Arial" w:cs="Arial"/>
        </w:rPr>
      </w:pPr>
    </w:p>
    <w:p w14:paraId="1AB9EFDE" w14:textId="77777777" w:rsidR="006925BE" w:rsidRDefault="0036577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 DESARROLLO</w:t>
      </w:r>
    </w:p>
    <w:p w14:paraId="6A33E45F" w14:textId="77777777" w:rsidR="006925BE" w:rsidRDefault="006925BE">
      <w:pPr>
        <w:rPr>
          <w:rFonts w:ascii="Arial" w:eastAsia="Arial" w:hAnsi="Arial" w:cs="Arial"/>
        </w:rPr>
      </w:pPr>
    </w:p>
    <w:tbl>
      <w:tblPr>
        <w:tblStyle w:val="a"/>
        <w:tblW w:w="884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131"/>
        <w:gridCol w:w="1900"/>
        <w:gridCol w:w="5809"/>
      </w:tblGrid>
      <w:tr w:rsidR="006925BE" w14:paraId="5912872C" w14:textId="77777777">
        <w:trPr>
          <w:cantSplit/>
          <w:trHeight w:val="525"/>
          <w:tblHeader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5868"/>
            <w:vAlign w:val="bottom"/>
          </w:tcPr>
          <w:p w14:paraId="63CD10B6" w14:textId="77777777" w:rsidR="006925BE" w:rsidRDefault="0036577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Actividad No. 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15868"/>
            <w:vAlign w:val="center"/>
          </w:tcPr>
          <w:p w14:paraId="4D070E27" w14:textId="77777777" w:rsidR="006925BE" w:rsidRDefault="0036577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Responsable </w:t>
            </w:r>
          </w:p>
        </w:tc>
        <w:tc>
          <w:tcPr>
            <w:tcW w:w="5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15868"/>
            <w:vAlign w:val="center"/>
          </w:tcPr>
          <w:p w14:paraId="22B6C78F" w14:textId="77777777" w:rsidR="006925BE" w:rsidRDefault="0036577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Descripción de Actividad</w:t>
            </w:r>
          </w:p>
        </w:tc>
      </w:tr>
      <w:tr w:rsidR="006925BE" w14:paraId="7C6B056A" w14:textId="77777777">
        <w:trPr>
          <w:trHeight w:val="1500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951A" w14:textId="77777777" w:rsidR="006925BE" w:rsidRDefault="0036577B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D26D" w14:textId="5FC41515" w:rsidR="006925BE" w:rsidRDefault="007356BB">
            <w:pPr>
              <w:jc w:val="center"/>
              <w:rPr>
                <w:color w:val="000000"/>
              </w:rPr>
            </w:pPr>
            <w:r>
              <w:t>Responsable del SGI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5A1F" w14:textId="05A3C344" w:rsidR="006925BE" w:rsidRDefault="003657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Elabora el programa anual </w:t>
            </w:r>
            <w:r w:rsidR="007356BB">
              <w:t xml:space="preserve">ITGAM-CA-008-01 </w:t>
            </w:r>
            <w:r>
              <w:t>para realizar las auditorías de servicios en el Instituto Tecnológico de Gustavo A. Madero</w:t>
            </w:r>
            <w:r w:rsidR="007356BB">
              <w:t>.</w:t>
            </w:r>
          </w:p>
        </w:tc>
      </w:tr>
      <w:tr w:rsidR="006925BE" w14:paraId="60BD73D2" w14:textId="77777777" w:rsidTr="00B43298">
        <w:trPr>
          <w:trHeight w:val="1078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AF84" w14:textId="77777777" w:rsidR="006925BE" w:rsidRDefault="0036577B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261C" w14:textId="5B85BBD8" w:rsidR="006925BE" w:rsidRDefault="0036577B">
            <w:pPr>
              <w:jc w:val="center"/>
              <w:rPr>
                <w:color w:val="000000"/>
              </w:rPr>
            </w:pPr>
            <w:r>
              <w:t>Responsable del S</w:t>
            </w:r>
            <w:r w:rsidR="007356BB">
              <w:t>GI</w:t>
            </w:r>
            <w:r>
              <w:t>/ Auditor Líder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7BAC4" w14:textId="6CF551E0" w:rsidR="006925BE" w:rsidRDefault="0036577B" w:rsidP="000338B5">
            <w:pPr>
              <w:jc w:val="both"/>
            </w:pPr>
            <w:r>
              <w:t>De acuerdo con la programación recibida</w:t>
            </w:r>
            <w:r w:rsidR="000E51ED">
              <w:t>, d</w:t>
            </w:r>
            <w:r>
              <w:t>etermina medio de aplicación de auditorías de servicios (medio físico o en electrónico).</w:t>
            </w:r>
          </w:p>
          <w:p w14:paraId="4AD4CCB1" w14:textId="77777777" w:rsidR="006925BE" w:rsidRDefault="0036577B" w:rsidP="000338B5">
            <w:pPr>
              <w:jc w:val="both"/>
              <w:rPr>
                <w:color w:val="000000"/>
              </w:rPr>
            </w:pPr>
            <w:r>
              <w:t xml:space="preserve">Aplica encuesta de servicios ITGAM-CA-008-02.  </w:t>
            </w:r>
          </w:p>
        </w:tc>
      </w:tr>
      <w:tr w:rsidR="006925BE" w14:paraId="6EBBC221" w14:textId="77777777">
        <w:trPr>
          <w:trHeight w:val="1500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1311B" w14:textId="77777777" w:rsidR="006925BE" w:rsidRDefault="0036577B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AF47" w14:textId="77777777" w:rsidR="006925BE" w:rsidRDefault="0036577B">
            <w:pPr>
              <w:jc w:val="center"/>
              <w:rPr>
                <w:color w:val="000000"/>
              </w:rPr>
            </w:pPr>
            <w:r>
              <w:t xml:space="preserve">Auditor líder 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01CC" w14:textId="3FA5E042" w:rsidR="006925BE" w:rsidRDefault="0036577B">
            <w:pPr>
              <w:jc w:val="both"/>
            </w:pPr>
            <w:r>
              <w:t>Analiza los resultados de cada una de las áreas auditadas y prepara las conclusiones de la auditoria. Elabora el informe de resultados de la auditoria de servicios para que el</w:t>
            </w:r>
            <w:r w:rsidR="000E51ED">
              <w:t xml:space="preserve"> (la)</w:t>
            </w:r>
            <w:r>
              <w:t xml:space="preserve"> responsable</w:t>
            </w:r>
            <w:r w:rsidR="000338B5">
              <w:t xml:space="preserve"> del SGI</w:t>
            </w:r>
            <w:r>
              <w:t xml:space="preserve"> lo revise y dé visto bueno ITGAM-CA-008-03.</w:t>
            </w:r>
          </w:p>
        </w:tc>
      </w:tr>
      <w:tr w:rsidR="006925BE" w14:paraId="0876FD66" w14:textId="77777777">
        <w:trPr>
          <w:trHeight w:val="1500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4FB8" w14:textId="77777777" w:rsidR="006925BE" w:rsidRDefault="0036577B">
            <w:pP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16B1" w14:textId="46F07BE9" w:rsidR="006925BE" w:rsidRDefault="0036577B">
            <w:pPr>
              <w:jc w:val="center"/>
              <w:rPr>
                <w:color w:val="000000"/>
              </w:rPr>
            </w:pPr>
            <w:r>
              <w:t xml:space="preserve">Responsable del </w:t>
            </w:r>
            <w:r w:rsidR="007356BB">
              <w:t>SGI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15DC5" w14:textId="4DC29F20" w:rsidR="006925BE" w:rsidRDefault="0036577B">
            <w:pPr>
              <w:jc w:val="both"/>
              <w:rPr>
                <w:color w:val="000000"/>
              </w:rPr>
            </w:pPr>
            <w:r>
              <w:t xml:space="preserve">Recibe informe y evalúa los resultados presentados por el </w:t>
            </w:r>
            <w:r w:rsidR="000E51ED">
              <w:t>auditor líder</w:t>
            </w:r>
            <w:r>
              <w:t xml:space="preserve">. Prepara el plan de acción si los resultados muestran No conformidades en el servicio, para que las áreas auditadas atiendan las deficiencias del servicio proporcionado. </w:t>
            </w:r>
          </w:p>
        </w:tc>
      </w:tr>
      <w:tr w:rsidR="006925BE" w14:paraId="3EBEB8FD" w14:textId="77777777">
        <w:trPr>
          <w:trHeight w:val="1500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F9AF" w14:textId="77777777" w:rsidR="006925BE" w:rsidRDefault="0036577B">
            <w:pP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EA14A" w14:textId="77777777" w:rsidR="006925BE" w:rsidRDefault="0036577B">
            <w:pPr>
              <w:jc w:val="center"/>
              <w:rPr>
                <w:color w:val="000000"/>
              </w:rPr>
            </w:pPr>
            <w:r>
              <w:t xml:space="preserve">Áreas auditadas 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E713E" w14:textId="77777777" w:rsidR="006925BE" w:rsidRDefault="0036577B">
            <w:pPr>
              <w:jc w:val="both"/>
            </w:pPr>
            <w:r>
              <w:t>Recibe informe de resultado de la auditoria de servicio; si el informe muestra no conformidades en el servicio proporcionado, realiza el análisis de causa raíz. Si requiere RAC completa la información en el formato ITGAM-CA-005-01.</w:t>
            </w:r>
          </w:p>
          <w:p w14:paraId="1F3B3DCE" w14:textId="77777777" w:rsidR="006925BE" w:rsidRDefault="0036577B">
            <w:pPr>
              <w:jc w:val="both"/>
            </w:pPr>
            <w:r>
              <w:t xml:space="preserve">NO requiere RAC termina. </w:t>
            </w:r>
          </w:p>
        </w:tc>
      </w:tr>
      <w:tr w:rsidR="006925BE" w14:paraId="5BEE5692" w14:textId="77777777">
        <w:trPr>
          <w:trHeight w:val="900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A1BF" w14:textId="77777777" w:rsidR="006925BE" w:rsidRDefault="0036577B">
            <w:pPr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DC13" w14:textId="77777777" w:rsidR="006925BE" w:rsidRDefault="0036577B">
            <w:pPr>
              <w:jc w:val="center"/>
              <w:rPr>
                <w:color w:val="000000"/>
              </w:rPr>
            </w:pPr>
            <w:r>
              <w:t>Áreas auditadas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FADE0" w14:textId="77777777" w:rsidR="006925BE" w:rsidRDefault="0036577B">
            <w:pPr>
              <w:jc w:val="both"/>
              <w:rPr>
                <w:color w:val="000000"/>
              </w:rPr>
            </w:pPr>
            <w:r>
              <w:t>Aplica acciones correctivas y/o corrección y da seguimiento a las acciones aplicadas. (Ver procedimiento del SGI para acciones correctivas ITGAM-CA-005)</w:t>
            </w:r>
          </w:p>
        </w:tc>
      </w:tr>
      <w:tr w:rsidR="006925BE" w14:paraId="2D9A3E15" w14:textId="77777777">
        <w:trPr>
          <w:trHeight w:val="900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03F7" w14:textId="77777777" w:rsidR="006925BE" w:rsidRDefault="0036577B">
            <w:pPr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0E44" w14:textId="28FE0AC8" w:rsidR="006925BE" w:rsidRDefault="0036577B">
            <w:pPr>
              <w:jc w:val="center"/>
            </w:pPr>
            <w:r>
              <w:t>Responsable del S</w:t>
            </w:r>
            <w:r w:rsidR="007356BB">
              <w:t>GI</w:t>
            </w:r>
            <w:r>
              <w:t xml:space="preserve"> / Auditor líder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4A5A" w14:textId="65C1EA06" w:rsidR="006925BE" w:rsidRDefault="0036577B">
            <w:pPr>
              <w:jc w:val="both"/>
              <w:rPr>
                <w:color w:val="000000"/>
              </w:rPr>
            </w:pPr>
            <w:r>
              <w:t xml:space="preserve">Supervisa el cumplimiento de acciones implantadas e informan los resultados de las acciones al responsable del </w:t>
            </w:r>
            <w:r w:rsidR="00FB73E9">
              <w:t>SGI</w:t>
            </w:r>
            <w:r>
              <w:t xml:space="preserve">. </w:t>
            </w:r>
          </w:p>
        </w:tc>
      </w:tr>
      <w:tr w:rsidR="006925BE" w14:paraId="7A543EE9" w14:textId="77777777">
        <w:trPr>
          <w:trHeight w:val="900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67E0" w14:textId="77777777" w:rsidR="006925BE" w:rsidRDefault="0036577B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B15A" w14:textId="5D133CFB" w:rsidR="006925BE" w:rsidRDefault="0036577B">
            <w:pPr>
              <w:jc w:val="center"/>
            </w:pPr>
            <w:bookmarkStart w:id="0" w:name="_gjdgxs" w:colFirst="0" w:colLast="0"/>
            <w:bookmarkEnd w:id="0"/>
            <w:r>
              <w:t>Responsable del S</w:t>
            </w:r>
            <w:r w:rsidR="007356BB">
              <w:t>GI</w:t>
            </w:r>
            <w:r>
              <w:t xml:space="preserve"> / Auditor líder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58D48" w14:textId="77777777" w:rsidR="006925BE" w:rsidRDefault="0036577B">
            <w:pPr>
              <w:jc w:val="both"/>
            </w:pPr>
            <w:r>
              <w:t>Verifica la eficacia de las acciones tomadas y cierra RAC.</w:t>
            </w:r>
          </w:p>
          <w:p w14:paraId="0019D6DB" w14:textId="70A6DCB1" w:rsidR="006925BE" w:rsidRDefault="0036577B">
            <w:pPr>
              <w:jc w:val="both"/>
            </w:pPr>
            <w:r>
              <w:t>Envía informe a</w:t>
            </w:r>
            <w:r w:rsidR="00FB73E9">
              <w:t xml:space="preserve">l responsable </w:t>
            </w:r>
            <w:r>
              <w:t>del SGI del ITGAM</w:t>
            </w:r>
          </w:p>
        </w:tc>
      </w:tr>
    </w:tbl>
    <w:p w14:paraId="0CFE690F" w14:textId="77777777" w:rsidR="006925BE" w:rsidRDefault="006925BE">
      <w:pPr>
        <w:rPr>
          <w:rFonts w:ascii="Arial" w:eastAsia="Arial" w:hAnsi="Arial" w:cs="Arial"/>
          <w:b/>
        </w:rPr>
      </w:pPr>
    </w:p>
    <w:p w14:paraId="171121AB" w14:textId="77777777" w:rsidR="006925BE" w:rsidRDefault="006925BE">
      <w:pPr>
        <w:ind w:left="40"/>
        <w:rPr>
          <w:rFonts w:ascii="Arial" w:eastAsia="Arial" w:hAnsi="Arial" w:cs="Arial"/>
          <w:b/>
        </w:rPr>
      </w:pPr>
    </w:p>
    <w:p w14:paraId="07455FF6" w14:textId="77777777" w:rsidR="006925BE" w:rsidRDefault="006925BE">
      <w:pPr>
        <w:ind w:left="40"/>
        <w:rPr>
          <w:rFonts w:ascii="Arial" w:eastAsia="Arial" w:hAnsi="Arial" w:cs="Arial"/>
          <w:b/>
        </w:rPr>
      </w:pPr>
    </w:p>
    <w:p w14:paraId="0B7F14BF" w14:textId="77777777" w:rsidR="006925BE" w:rsidRDefault="0036577B">
      <w:pPr>
        <w:ind w:left="4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7. DOCUMENTOS DE REFERENCIA</w:t>
      </w:r>
    </w:p>
    <w:p w14:paraId="254B9597" w14:textId="77777777" w:rsidR="006925BE" w:rsidRDefault="006925BE">
      <w:pPr>
        <w:ind w:left="40"/>
        <w:rPr>
          <w:rFonts w:ascii="Arial" w:eastAsia="Arial" w:hAnsi="Arial" w:cs="Arial"/>
        </w:rPr>
      </w:pPr>
    </w:p>
    <w:p w14:paraId="5FB69027" w14:textId="77777777" w:rsidR="006925BE" w:rsidRDefault="0036577B">
      <w:pPr>
        <w:spacing w:line="234" w:lineRule="auto"/>
        <w:ind w:left="40" w:right="35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ITGAM-CA-008-01 Programa Anual de Auditorías  ITGAM-CA-008-02 Encuestas de Servicio</w:t>
      </w:r>
    </w:p>
    <w:p w14:paraId="79C52140" w14:textId="77777777" w:rsidR="006925BE" w:rsidRDefault="006925BE">
      <w:pPr>
        <w:spacing w:line="14" w:lineRule="auto"/>
        <w:rPr>
          <w:rFonts w:ascii="Arial" w:eastAsia="Arial" w:hAnsi="Arial" w:cs="Arial"/>
        </w:rPr>
      </w:pPr>
    </w:p>
    <w:p w14:paraId="1A998279" w14:textId="77777777" w:rsidR="006925BE" w:rsidRDefault="0036577B">
      <w:pPr>
        <w:spacing w:line="236" w:lineRule="auto"/>
        <w:ind w:left="40" w:right="75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ITGAM-CA-008-03 Informe de Resultados de la Encuesta de Servicio </w:t>
      </w:r>
    </w:p>
    <w:p w14:paraId="0E2F16EE" w14:textId="77777777" w:rsidR="006925BE" w:rsidRDefault="0036577B">
      <w:pPr>
        <w:spacing w:line="236" w:lineRule="auto"/>
        <w:ind w:left="40" w:right="-3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ITGAM-CA-007-04 Formato electrónico para informe de resultados de auditoría de servicio. </w:t>
      </w:r>
    </w:p>
    <w:p w14:paraId="3F8F5A10" w14:textId="77777777" w:rsidR="006925BE" w:rsidRDefault="0036577B">
      <w:pPr>
        <w:spacing w:line="236" w:lineRule="auto"/>
        <w:ind w:left="40" w:right="19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ITGAM-CA-005-01 Formato Requisición de Acciones Correctivas.</w:t>
      </w:r>
    </w:p>
    <w:p w14:paraId="797EFB17" w14:textId="77777777" w:rsidR="006925BE" w:rsidRDefault="006925BE">
      <w:pPr>
        <w:rPr>
          <w:rFonts w:ascii="Arial" w:eastAsia="Arial" w:hAnsi="Arial" w:cs="Arial"/>
        </w:rPr>
      </w:pPr>
    </w:p>
    <w:p w14:paraId="1773950C" w14:textId="77777777" w:rsidR="006925BE" w:rsidRDefault="0036577B">
      <w:pPr>
        <w:ind w:left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CONTROL DE CAMBIOS</w:t>
      </w:r>
    </w:p>
    <w:p w14:paraId="4829B238" w14:textId="77777777" w:rsidR="006925BE" w:rsidRDefault="006925BE">
      <w:pPr>
        <w:rPr>
          <w:rFonts w:ascii="Arial" w:eastAsia="Arial" w:hAnsi="Arial" w:cs="Arial"/>
        </w:rPr>
      </w:pPr>
    </w:p>
    <w:tbl>
      <w:tblPr>
        <w:tblStyle w:val="a0"/>
        <w:tblW w:w="956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18"/>
        <w:gridCol w:w="1701"/>
        <w:gridCol w:w="4646"/>
        <w:gridCol w:w="1804"/>
      </w:tblGrid>
      <w:tr w:rsidR="006925BE" w14:paraId="05961DB8" w14:textId="77777777">
        <w:trPr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5868"/>
            <w:vAlign w:val="center"/>
          </w:tcPr>
          <w:p w14:paraId="02A6E56A" w14:textId="77777777" w:rsidR="006925BE" w:rsidRDefault="0036577B" w:rsidP="000E51E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REVISIÓN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15868"/>
            <w:vAlign w:val="center"/>
          </w:tcPr>
          <w:p w14:paraId="57BBC988" w14:textId="77777777" w:rsidR="006925BE" w:rsidRDefault="0036577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PUNTOS QUE SE MODIFICAN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15868"/>
            <w:vAlign w:val="center"/>
          </w:tcPr>
          <w:p w14:paraId="5A2F3ED3" w14:textId="59990876" w:rsidR="006925BE" w:rsidRDefault="0036577B" w:rsidP="000E51ED">
            <w:pPr>
              <w:ind w:firstLine="4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DESCRIPCIÓN DE LA MODIFICACIÓN</w:t>
            </w:r>
          </w:p>
        </w:tc>
        <w:tc>
          <w:tcPr>
            <w:tcW w:w="1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15868"/>
            <w:vAlign w:val="center"/>
          </w:tcPr>
          <w:p w14:paraId="6189FC04" w14:textId="77777777" w:rsidR="006925BE" w:rsidRDefault="0036577B">
            <w:pPr>
              <w:ind w:firstLine="44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</w:tr>
      <w:tr w:rsidR="006925BE" w14:paraId="0122E759" w14:textId="77777777">
        <w:trPr>
          <w:trHeight w:val="917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BD69" w14:textId="77777777" w:rsidR="006925BE" w:rsidRDefault="003657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4D5F" w14:textId="77777777" w:rsidR="006925BE" w:rsidRDefault="003657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Todo el documento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0276" w14:textId="77777777" w:rsidR="006925BE" w:rsidRDefault="003657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 ajusta procedimiento en general para el cumplimiento de las normas ISO 9001:2015 e ISO 14001:2015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579D" w14:textId="77777777" w:rsidR="006925BE" w:rsidRDefault="003657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de agosto de 2018</w:t>
            </w:r>
          </w:p>
        </w:tc>
      </w:tr>
      <w:tr w:rsidR="006925BE" w14:paraId="6E8FBCC2" w14:textId="77777777">
        <w:trPr>
          <w:trHeight w:val="562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F57C" w14:textId="77777777" w:rsidR="006925BE" w:rsidRDefault="006925BE">
            <w:pPr>
              <w:rPr>
                <w:color w:val="000000"/>
              </w:rPr>
            </w:pPr>
          </w:p>
          <w:p w14:paraId="530359B5" w14:textId="77777777" w:rsidR="006925BE" w:rsidRDefault="003657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  <w:p w14:paraId="42955AEB" w14:textId="77777777" w:rsidR="006925BE" w:rsidRDefault="006925B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C993" w14:textId="77777777" w:rsidR="006925BE" w:rsidRDefault="003657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154C" w14:textId="77777777" w:rsidR="006925BE" w:rsidRDefault="003657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Sólo Vigencia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CD90D" w14:textId="77777777" w:rsidR="006925BE" w:rsidRDefault="003657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noviembre 2019</w:t>
            </w:r>
          </w:p>
        </w:tc>
      </w:tr>
      <w:tr w:rsidR="006925BE" w14:paraId="3F27768F" w14:textId="77777777">
        <w:trPr>
          <w:trHeight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540B" w14:textId="77777777" w:rsidR="006925BE" w:rsidRDefault="003657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DD52" w14:textId="77777777" w:rsidR="006925BE" w:rsidRDefault="003657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1,5,6 y 7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7CE3" w14:textId="77777777" w:rsidR="006925BE" w:rsidRDefault="0036577B">
            <w:pPr>
              <w:rPr>
                <w:color w:val="000000"/>
              </w:rPr>
            </w:pPr>
            <w:r>
              <w:rPr>
                <w:color w:val="000000"/>
              </w:rPr>
              <w:t xml:space="preserve">Se ajusta el Objetivo, se incluye el diagrama de flujo, se ajusta el desarrollo y se actualizan datos en general para el cumplimiento de las normas acorde a la situación actual del servicio en el ITGAM.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F218" w14:textId="77777777" w:rsidR="006925BE" w:rsidRDefault="003657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mayo 2022</w:t>
            </w:r>
          </w:p>
        </w:tc>
      </w:tr>
    </w:tbl>
    <w:p w14:paraId="67FC1EE5" w14:textId="77777777" w:rsidR="006925BE" w:rsidRDefault="006925BE">
      <w:pPr>
        <w:rPr>
          <w:rFonts w:ascii="Arial" w:eastAsia="Arial" w:hAnsi="Arial" w:cs="Arial"/>
        </w:rPr>
      </w:pPr>
    </w:p>
    <w:sectPr w:rsidR="00692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567" w:left="1701" w:header="70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AC240" w14:textId="77777777" w:rsidR="007F226C" w:rsidRDefault="007F226C">
      <w:r>
        <w:separator/>
      </w:r>
    </w:p>
  </w:endnote>
  <w:endnote w:type="continuationSeparator" w:id="0">
    <w:p w14:paraId="7879419A" w14:textId="77777777" w:rsidR="007F226C" w:rsidRDefault="007F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FB72" w14:textId="77777777" w:rsidR="002F5E5D" w:rsidRDefault="002F5E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3CD98" w14:textId="77777777" w:rsidR="006925BE" w:rsidRDefault="0036577B">
    <w:pPr>
      <w:jc w:val="center"/>
      <w:rPr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Toda copia en PAPEL es un “Documento No Controlado” a excepción del original</w:t>
    </w:r>
  </w:p>
  <w:p w14:paraId="102325FA" w14:textId="77777777" w:rsidR="006925BE" w:rsidRDefault="006925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8E9EC" w14:textId="77777777" w:rsidR="006925BE" w:rsidRDefault="006925B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a3"/>
      <w:tblW w:w="10191" w:type="dxa"/>
      <w:jc w:val="center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Look w:val="0400" w:firstRow="0" w:lastRow="0" w:firstColumn="0" w:lastColumn="0" w:noHBand="0" w:noVBand="1"/>
    </w:tblPr>
    <w:tblGrid>
      <w:gridCol w:w="2395"/>
      <w:gridCol w:w="2693"/>
      <w:gridCol w:w="2694"/>
      <w:gridCol w:w="2409"/>
    </w:tblGrid>
    <w:tr w:rsidR="006925BE" w14:paraId="080FC699" w14:textId="77777777">
      <w:trPr>
        <w:trHeight w:val="567"/>
        <w:jc w:val="center"/>
      </w:trPr>
      <w:tc>
        <w:tcPr>
          <w:tcW w:w="2395" w:type="dxa"/>
          <w:vAlign w:val="center"/>
        </w:tcPr>
        <w:p w14:paraId="05B2D1A3" w14:textId="77777777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  <w:bookmarkStart w:id="1" w:name="_30j0zll" w:colFirst="0" w:colLast="0"/>
          <w:bookmarkEnd w:id="1"/>
          <w:r>
            <w:rPr>
              <w:color w:val="000000"/>
              <w:sz w:val="22"/>
              <w:szCs w:val="22"/>
            </w:rPr>
            <w:t>Elaboró</w:t>
          </w:r>
        </w:p>
        <w:p w14:paraId="382117F5" w14:textId="77777777" w:rsidR="006925BE" w:rsidRDefault="006925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2693" w:type="dxa"/>
        </w:tcPr>
        <w:p w14:paraId="68A0DF41" w14:textId="77777777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Revisó</w:t>
          </w:r>
        </w:p>
        <w:p w14:paraId="7EA1A4DD" w14:textId="77777777" w:rsidR="006925BE" w:rsidRDefault="006925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2694" w:type="dxa"/>
          <w:vAlign w:val="center"/>
        </w:tcPr>
        <w:p w14:paraId="1A3EB3D7" w14:textId="77777777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Aprobó</w:t>
          </w:r>
        </w:p>
        <w:p w14:paraId="7285F4D4" w14:textId="77777777" w:rsidR="006925BE" w:rsidRDefault="006925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2409" w:type="dxa"/>
          <w:vAlign w:val="center"/>
        </w:tcPr>
        <w:p w14:paraId="180E4BEC" w14:textId="77777777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Fecha de emisión:</w:t>
          </w:r>
        </w:p>
        <w:p w14:paraId="77836D94" w14:textId="77777777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12 noviembre 2019</w:t>
          </w:r>
        </w:p>
      </w:tc>
    </w:tr>
    <w:tr w:rsidR="006925BE" w14:paraId="4072CBE5" w14:textId="77777777">
      <w:trPr>
        <w:trHeight w:val="567"/>
        <w:jc w:val="center"/>
      </w:trPr>
      <w:tc>
        <w:tcPr>
          <w:tcW w:w="2395" w:type="dxa"/>
          <w:vAlign w:val="center"/>
        </w:tcPr>
        <w:p w14:paraId="60428A8F" w14:textId="77777777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Grizeth Guadalupe De la Cruz Roque</w:t>
          </w:r>
        </w:p>
        <w:p w14:paraId="73CA8BE1" w14:textId="11AFD271" w:rsidR="006925BE" w:rsidRDefault="000E51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Responsable</w:t>
          </w:r>
          <w:r w:rsidR="0036577B">
            <w:rPr>
              <w:color w:val="000000"/>
              <w:sz w:val="22"/>
              <w:szCs w:val="22"/>
            </w:rPr>
            <w:t xml:space="preserve"> del SGI</w:t>
          </w:r>
        </w:p>
      </w:tc>
      <w:tc>
        <w:tcPr>
          <w:tcW w:w="2693" w:type="dxa"/>
        </w:tcPr>
        <w:p w14:paraId="3C652136" w14:textId="6FBBAFEE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 </w:t>
          </w:r>
          <w:r w:rsidR="002F5E5D">
            <w:rPr>
              <w:color w:val="000000"/>
              <w:sz w:val="22"/>
              <w:szCs w:val="22"/>
            </w:rPr>
            <w:t>Javier Lara de Paz</w:t>
          </w:r>
          <w:r>
            <w:rPr>
              <w:color w:val="000000"/>
              <w:sz w:val="22"/>
              <w:szCs w:val="22"/>
            </w:rPr>
            <w:t xml:space="preserve"> </w:t>
          </w:r>
        </w:p>
        <w:p w14:paraId="0EB7F2CE" w14:textId="77777777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Subdirector Académico</w:t>
          </w:r>
        </w:p>
      </w:tc>
      <w:tc>
        <w:tcPr>
          <w:tcW w:w="2694" w:type="dxa"/>
          <w:vAlign w:val="center"/>
        </w:tcPr>
        <w:p w14:paraId="41EA88AD" w14:textId="77777777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Pedro Azuara Rodríguez</w:t>
          </w:r>
        </w:p>
        <w:p w14:paraId="5D8A2565" w14:textId="77777777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Director </w:t>
          </w:r>
        </w:p>
      </w:tc>
      <w:tc>
        <w:tcPr>
          <w:tcW w:w="2409" w:type="dxa"/>
          <w:vAlign w:val="center"/>
        </w:tcPr>
        <w:p w14:paraId="17C977A6" w14:textId="77777777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Fecha de revisión:</w:t>
          </w:r>
        </w:p>
        <w:p w14:paraId="26FFDA9F" w14:textId="103170EE" w:rsidR="006925BE" w:rsidRDefault="001078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06</w:t>
          </w:r>
          <w:r w:rsidR="0036577B">
            <w:rPr>
              <w:color w:val="000000"/>
              <w:sz w:val="22"/>
              <w:szCs w:val="22"/>
            </w:rPr>
            <w:t xml:space="preserve"> </w:t>
          </w:r>
          <w:r w:rsidR="002F5E5D">
            <w:rPr>
              <w:color w:val="000000"/>
              <w:sz w:val="22"/>
              <w:szCs w:val="22"/>
            </w:rPr>
            <w:t xml:space="preserve">febrero </w:t>
          </w:r>
          <w:r w:rsidR="002F5E5D">
            <w:rPr>
              <w:color w:val="000000"/>
              <w:sz w:val="22"/>
              <w:szCs w:val="22"/>
            </w:rPr>
            <w:t>2024</w:t>
          </w:r>
        </w:p>
      </w:tc>
    </w:tr>
  </w:tbl>
  <w:p w14:paraId="0F04EAA2" w14:textId="77777777" w:rsidR="006925BE" w:rsidRDefault="003657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Toda copia en PAPEL es un “Documento No Controlado” a excepción del original</w:t>
    </w:r>
  </w:p>
  <w:p w14:paraId="4AAA058B" w14:textId="77777777" w:rsidR="006925BE" w:rsidRDefault="006925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60012" w14:textId="77777777" w:rsidR="007F226C" w:rsidRDefault="007F226C">
      <w:r>
        <w:separator/>
      </w:r>
    </w:p>
  </w:footnote>
  <w:footnote w:type="continuationSeparator" w:id="0">
    <w:p w14:paraId="43D1750B" w14:textId="77777777" w:rsidR="007F226C" w:rsidRDefault="007F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351B1" w14:textId="77777777" w:rsidR="002F5E5D" w:rsidRDefault="002F5E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AB81E" w14:textId="77777777" w:rsidR="006925BE" w:rsidRDefault="006925B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  <w:tbl>
    <w:tblPr>
      <w:tblStyle w:val="a2"/>
      <w:tblW w:w="1013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6925BE" w14:paraId="4A70DBFA" w14:textId="77777777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vAlign w:val="center"/>
        </w:tcPr>
        <w:p w14:paraId="1AF63EFA" w14:textId="77777777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Revisión 02</w:t>
          </w:r>
        </w:p>
      </w:tc>
      <w:tc>
        <w:tcPr>
          <w:tcW w:w="4962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vAlign w:val="center"/>
        </w:tcPr>
        <w:p w14:paraId="73DABBC2" w14:textId="77777777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-212" w:firstLine="212"/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PROCEDIMIENTO</w:t>
          </w:r>
        </w:p>
        <w:p w14:paraId="2961F17F" w14:textId="77777777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-212" w:firstLine="212"/>
            <w:jc w:val="center"/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 xml:space="preserve"> ENCUESTAS DE SERVICIO</w:t>
          </w:r>
        </w:p>
      </w:tc>
      <w:tc>
        <w:tcPr>
          <w:tcW w:w="2835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vAlign w:val="center"/>
        </w:tcPr>
        <w:p w14:paraId="2D7A5DE5" w14:textId="77777777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lang w:val="es-ES" w:eastAsia="es-ES"/>
            </w:rPr>
            <w:drawing>
              <wp:inline distT="0" distB="0" distL="0" distR="0" wp14:anchorId="1787522F" wp14:editId="3D6895AA">
                <wp:extent cx="1176437" cy="766466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6925BE" w14:paraId="4E0CB3C8" w14:textId="77777777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vAlign w:val="center"/>
        </w:tcPr>
        <w:p w14:paraId="66B3F217" w14:textId="77777777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ITGAM-CA-008</w:t>
          </w:r>
        </w:p>
      </w:tc>
      <w:tc>
        <w:tcPr>
          <w:tcW w:w="4962" w:type="dxa"/>
          <w:vMerge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vAlign w:val="center"/>
        </w:tcPr>
        <w:p w14:paraId="205B4841" w14:textId="77777777" w:rsidR="006925BE" w:rsidRDefault="006925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2835" w:type="dxa"/>
          <w:vMerge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vAlign w:val="center"/>
        </w:tcPr>
        <w:p w14:paraId="68EFAEAB" w14:textId="77777777" w:rsidR="006925BE" w:rsidRDefault="006925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</w:tr>
    <w:tr w:rsidR="006925BE" w14:paraId="4F46D85A" w14:textId="77777777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vAlign w:val="center"/>
        </w:tcPr>
        <w:p w14:paraId="5859DB71" w14:textId="77777777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Página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1078D7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  <w:r>
            <w:rPr>
              <w:color w:val="000000"/>
              <w:sz w:val="22"/>
              <w:szCs w:val="22"/>
            </w:rPr>
            <w:t xml:space="preserve"> de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 w:rsidR="001078D7">
            <w:rPr>
              <w:noProof/>
              <w:color w:val="000000"/>
            </w:rPr>
            <w:t>5</w:t>
          </w:r>
          <w:r>
            <w:rPr>
              <w:color w:val="000000"/>
            </w:rPr>
            <w:fldChar w:fldCharType="end"/>
          </w:r>
        </w:p>
      </w:tc>
      <w:tc>
        <w:tcPr>
          <w:tcW w:w="4962" w:type="dxa"/>
          <w:vMerge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vAlign w:val="center"/>
        </w:tcPr>
        <w:p w14:paraId="0A446B73" w14:textId="77777777" w:rsidR="006925BE" w:rsidRDefault="006925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2835" w:type="dxa"/>
          <w:vMerge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vAlign w:val="center"/>
        </w:tcPr>
        <w:p w14:paraId="7DDAD5BE" w14:textId="77777777" w:rsidR="006925BE" w:rsidRDefault="006925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</w:tr>
  </w:tbl>
  <w:p w14:paraId="6BE6D81F" w14:textId="77777777" w:rsidR="006925BE" w:rsidRDefault="006925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DDA45" w14:textId="77777777" w:rsidR="006925BE" w:rsidRDefault="006925B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1"/>
      <w:tblW w:w="1013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6925BE" w14:paraId="0F18586A" w14:textId="77777777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vAlign w:val="center"/>
        </w:tcPr>
        <w:p w14:paraId="4DFB4622" w14:textId="439F1DD8" w:rsidR="006925BE" w:rsidRDefault="001078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Revisión 01</w:t>
          </w:r>
        </w:p>
      </w:tc>
      <w:tc>
        <w:tcPr>
          <w:tcW w:w="4962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vAlign w:val="center"/>
        </w:tcPr>
        <w:p w14:paraId="3BBE619D" w14:textId="77777777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-212" w:firstLine="212"/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PROCEDIMIENTO</w:t>
          </w:r>
        </w:p>
        <w:p w14:paraId="11B3A705" w14:textId="77777777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-212" w:firstLine="212"/>
            <w:jc w:val="center"/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 xml:space="preserve"> ENCUESTAS DE SERVICIO</w:t>
          </w:r>
        </w:p>
      </w:tc>
      <w:tc>
        <w:tcPr>
          <w:tcW w:w="2835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vAlign w:val="center"/>
        </w:tcPr>
        <w:p w14:paraId="341B1C45" w14:textId="77777777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lang w:val="es-ES" w:eastAsia="es-ES"/>
            </w:rPr>
            <w:drawing>
              <wp:inline distT="0" distB="0" distL="0" distR="0" wp14:anchorId="70426443" wp14:editId="3E0D3F73">
                <wp:extent cx="1176437" cy="766466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6925BE" w14:paraId="03E705F8" w14:textId="77777777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vAlign w:val="center"/>
        </w:tcPr>
        <w:p w14:paraId="340489B7" w14:textId="77777777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ITGAM-CA-008</w:t>
          </w:r>
        </w:p>
      </w:tc>
      <w:tc>
        <w:tcPr>
          <w:tcW w:w="4962" w:type="dxa"/>
          <w:vMerge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vAlign w:val="center"/>
        </w:tcPr>
        <w:p w14:paraId="2D23F597" w14:textId="77777777" w:rsidR="006925BE" w:rsidRDefault="006925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2835" w:type="dxa"/>
          <w:vMerge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vAlign w:val="center"/>
        </w:tcPr>
        <w:p w14:paraId="57917FF7" w14:textId="77777777" w:rsidR="006925BE" w:rsidRDefault="006925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</w:tr>
    <w:tr w:rsidR="006925BE" w14:paraId="29A31676" w14:textId="77777777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vAlign w:val="center"/>
        </w:tcPr>
        <w:p w14:paraId="50DCA966" w14:textId="77777777" w:rsidR="006925BE" w:rsidRDefault="00365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Página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1078D7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  <w:sz w:val="22"/>
              <w:szCs w:val="22"/>
            </w:rPr>
            <w:t xml:space="preserve"> de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 w:rsidR="001078D7">
            <w:rPr>
              <w:noProof/>
              <w:color w:val="000000"/>
            </w:rPr>
            <w:t>5</w:t>
          </w:r>
          <w:r>
            <w:rPr>
              <w:color w:val="000000"/>
            </w:rPr>
            <w:fldChar w:fldCharType="end"/>
          </w:r>
        </w:p>
      </w:tc>
      <w:tc>
        <w:tcPr>
          <w:tcW w:w="4962" w:type="dxa"/>
          <w:vMerge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vAlign w:val="center"/>
        </w:tcPr>
        <w:p w14:paraId="3C5B91A3" w14:textId="77777777" w:rsidR="006925BE" w:rsidRDefault="006925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2835" w:type="dxa"/>
          <w:vMerge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vAlign w:val="center"/>
        </w:tcPr>
        <w:p w14:paraId="1FEEDD0E" w14:textId="77777777" w:rsidR="006925BE" w:rsidRDefault="006925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</w:tr>
  </w:tbl>
  <w:p w14:paraId="70A1856E" w14:textId="77777777" w:rsidR="006925BE" w:rsidRDefault="006925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5BE"/>
    <w:rsid w:val="000338B5"/>
    <w:rsid w:val="000E51ED"/>
    <w:rsid w:val="001078D7"/>
    <w:rsid w:val="00274550"/>
    <w:rsid w:val="002F5E5D"/>
    <w:rsid w:val="00321B36"/>
    <w:rsid w:val="0036577B"/>
    <w:rsid w:val="0060521F"/>
    <w:rsid w:val="006925BE"/>
    <w:rsid w:val="007356BB"/>
    <w:rsid w:val="007F226C"/>
    <w:rsid w:val="00B43298"/>
    <w:rsid w:val="00C74017"/>
    <w:rsid w:val="00E24420"/>
    <w:rsid w:val="00F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FBE62"/>
  <w15:docId w15:val="{E196E9EA-E6BF-44AF-A4D1-FD328D4B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B73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73E9"/>
  </w:style>
  <w:style w:type="paragraph" w:styleId="Piedepgina">
    <w:name w:val="footer"/>
    <w:basedOn w:val="Normal"/>
    <w:link w:val="PiedepginaCar"/>
    <w:uiPriority w:val="99"/>
    <w:unhideWhenUsed/>
    <w:rsid w:val="00FB73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3FB86-8787-40D9-A754-02E01B66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Social</dc:creator>
  <cp:lastModifiedBy>Servicio Social</cp:lastModifiedBy>
  <cp:revision>2</cp:revision>
  <dcterms:created xsi:type="dcterms:W3CDTF">2024-03-11T20:29:00Z</dcterms:created>
  <dcterms:modified xsi:type="dcterms:W3CDTF">2024-03-11T20:29:00Z</dcterms:modified>
</cp:coreProperties>
</file>